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50 vom 2. Juli 2007</w:t>
      </w:r>
    </w:p>
    <w:p>
      <w:r>
        <w:t>GR Gerichte, 2007-07-02, DE</w:t>
      </w:r>
    </w:p>
    <w:p>
      <w:r>
        <w:rPr>
          <w:b/>
        </w:rPr>
        <w:t xml:space="preserve">Quelle: </w:t>
      </w:r>
      <w:r>
        <w:t>https://mcp.opencaselaw.ch/entscheid/gr_gerichte_ZF 2007 50</w:t>
      </w:r>
    </w:p>
    <w:p>
      <w:r>
        <w:t>FR: GR_GERICHTE ZF 2007 50 du 2 juillet 2007</w:t>
      </w:r>
    </w:p>
    <w:p>
      <w:r>
        <w:t>IT: GR_GERICHTE ZF 2007 50 del 2 luglio 2007</w:t>
      </w:r>
    </w:p>
    <w:p>
      <w:pPr>
        <w:pStyle w:val="Heading2"/>
      </w:pPr>
      <w:r>
        <w:t>Regeste</w:t>
      </w:r>
    </w:p>
    <w:p>
      <w:r>
        <w:t>Forderung | OR Miete</w:t>
      </w:r>
    </w:p>
    <w:p>
      <w:pPr>
        <w:pStyle w:val="Heading2"/>
      </w:pPr>
      <w:r>
        <w:t>Erwägungen</w:t>
      </w:r>
    </w:p>
    <w:p>
      <w:r>
        <w:rPr>
          <w:b/>
        </w:rPr>
        <w:t>E. 2</w:t>
      </w:r>
    </w:p>
    <w:p>
      <w:r>
        <w:t>Am 23. Juli 2003 veräusserte X. die Liegenschaft zu einem Preis von Fr. 750'000.--.</w:t>
      </w:r>
    </w:p>
    <w:p>
      <w:r>
        <w:rPr>
          <w:b/>
        </w:rPr>
        <w:t>E. 3</w:t>
      </w:r>
    </w:p>
    <w:p>
      <w:r>
        <w:t>Mit Schreiben vom 21. Februar 2005 teilte der Rechtsvertreter von Y. X. unter anderem mit, dass es sich bei den von seiner Mandantin für den Hauskauf zur Verfügung gestellten Fr. 75'000.-- um ein Darlehen gehandelt habe. Dieses werde auf den 15. April 2005 gekündigt. Bei nicht ordnungs- gemässer Rückzahlung werde ein Verzugszins von 5 % geltend gemacht.</w:t>
      </w:r>
    </w:p>
    <w:p>
      <w:r>
        <w:rPr>
          <w:b/>
        </w:rPr>
        <w:t>E. 4</w:t>
      </w:r>
    </w:p>
    <w:p>
      <w:r>
        <w:t>Die Klägerin sei zu verpflichten, vorgängig eines zweiten Schrif- tenwechsels die gesamte Buchhaltung mitsamt sämtlichen Konto- blättern und Buchhaltungsbelegen betreffend die „einfache Gesell- schaft X. / Y." zu edieren. Alsdann sei ein zweiter Schriftenwechsel anzuordnen. B. Materielle Anträge 1. Die Klage sei vollumfänglich abzuweisen. 2. Unter voller vermittleramtlicher, gerichtlicher und aussergerichtli- cher Kosten- und Entschädigungsfolge zuzüglich 7.6% MWSt zu Lasten der Klägerin. Zur Begründung wurde im Wesentlichen ausgeführt, die Parteien hätten im Konkubinat gelebt. Sie hätten den ganzen Haushalt aus einer gemeinsamen Kasse bestritten. Rechtlich habe eine einfache Gesellschaft vorgelegen. Teil dieser einfachen Gesellschaft "X. / Y." sei auch der Erwerb, der Unterhalt sowie das gemeinsame Bewohnen der Liegenschaft in A. gewesen. Der Beklagte habe die Bedingung gestellt, die Liegenschaft zu Alleineigentum zu erwerben. Dies deshalb, weil er bei einem früheren Erwerb einer Liegenschaft zu Mitei- gentum trotz seines späteren Ausscheidens weiterhin solidarisch hätte haften müssen. Bei den von der Klägerin an den Beklagten überwiesenen Fr. 75'000.-- handle es sich um die Hälfte der Eigenmittel, welche zum Kauf aufgewendet worden seien. Die Auffassung der Klägerin, sie habe dem Beklagten damals ein Darlehen gewährt, sei falsch. Vielmehr habe sie eine Einlage in die vorer- wähnte einfache Gesellschaft getätigt. Aus diesem Grund könne die Klägerin auch keinen Darlehensvertrag ins Recht legen und ihre Behauptung von einem zinslosen Darlehen, ohne Amortisation und Rückzahlungstermin, erweise sich als unbewiesene Parteibehauptung. Die Behauptung, der Beklagte habe er- klärt, auf diese Pendenz nach erfolgtem Hausverkauf zurückzukommen, ent- spreche nicht der Wahrheit. Vielmehr treffe zu, dass sich die Parteien im Früh- ling 2003 vollständig und definitiv auseinander gesetzt hätten, mithin die einfa- che Gesellschaft "X. / Y." im Aussen- wie im Innenverhältnis liquidiert hätten. So habe die Klägerin denn auch zwei Jahre lang keinerlei Anstalten getroffen, noch irgendwelche Forderungen gegen den Beklagten geltend zu machen. Erst nachdem die Klägerin den Gegenanwalt über die angeblich noch zum Beklag- ten bestehenden „finanzielle Verflechtungen" orientiert hätte, sei die Forderung gestellt worden. Dieses Verhalten sei rechtsmissbräuchlich. Die Klägerin selbst habe dem Beklagten nach Beendigung ihrer gemeinsamen Beziehung anhand der Buchhaltung eine Abrechnung vorgelegt und die Parteien hätten die einfa- che Gesellschaft "X. / Y." gestützt darauf vollständig liquidiert. Auf ein Darlehen würde auch ansonsten nichts hindeuten. Er selbst habe nie einen Rückerstat-</w:t>
      </w:r>
    </w:p>
    <w:p>
      <w:r>
        <w:rPr>
          <w:b/>
        </w:rPr>
        <w:t>E. 5</w:t>
      </w:r>
    </w:p>
    <w:p>
      <w:r>
        <w:t>In ihrer Replik vom 22. Februar 2006 hielt die Klägerin an ihren Rechtsbegehren fest. Ergänzend führte die Klägerin aus, die Parteien hätten zwei gemeinsame Konti, nämlich ein Haushalts- und Ferienkonto (B-Bank Nr. 11111) sowie ein Nebenkostenkonto (B-Bank Nr. 22222) geführt. Bei ihrer Tren- nung im Mai 2003 hätten sie einzig über das Nebenkostenkonto eine Abrech- nung gemacht. Daraus habe die Klägerin den Betrag von Fr. 11'141.50, der Beklagte Fr. 60'000.00 erlangt. Die entsprechende Überweisung an den Be- klagten sei per 30. April 2003 erfolgt. Die Parteien hätten bezüglich der beiden gemeinsamen Bankkonti Buch geführt, wobei der Beklagte es gewesen sei, der darauf bestanden habe, die Kontobewegungen minutiös festzuhalten. Der Er- werb der Liegenschaft in A. sei nicht gemeinsam erfolgt. Der Ausschluss des Hauses aus der gemeinsamen Partnerschaft sei für den Beklagten Bedingung gewesen. Die Klägerin habe dem Beklagten das Darlehen von Fr. 75'000.00 ohne jegliche Sicherheit gewährt. Sie sei - getragen vom gegenseitigen Ver- trauen - gar nicht auf den Gedanken gekommen, den Darlehensvertrag schrift-</w:t>
      </w:r>
    </w:p>
    <w:p>
      <w:r>
        <w:rPr>
          <w:b/>
        </w:rPr>
        <w:t>E. 6</w:t>
      </w:r>
    </w:p>
    <w:p>
      <w:r>
        <w:t>In der am 4. April 2006 überbrachten Duplik stellte der Beklagte das Begehren, soweit die Klägerin mit ihren Ausführungen zur Frage der Li- quidation der einfachen Gesellschaft "X. / Y." einen förmlichen Antrag auf Liqui- dation stellen sollte, sei auf diesen nicht einzutreten. In der Sache liess der Be- klagte alsdann ausführen, es sei wohl zutreffend, dass die Parteien die von der Klägerin erwähnten zwei Konti gemeinsam geführt hätten. Unzutreffend sei je- doch, dass es sich hierbei um die beiden einzigen gemeinsamen Konti gehan- delt habe. Die Klägerin und der Beklagte hätten während der Dauer ihres Kon- kubinates minutiös sämtliche Ausgaben und Einnahmen und sämtliche Vermö- gensverschiebungen festgehalten und eine umfassende Buchhaltung geführt. Um dies unter Beweis zu stellen, habe der Beklagte in seiner Prozessantwort vom 13. Oktober 2005 die Edition der gemeinsamen Buchhaltung der einfachen Gesellschaft "X. / Y." durch die Klägerin beantragt. Die Klägerin habe diesbe- züglich dem Gericht nur einen Teil der Buchhaltung, nämlich die Buchhaltungs- konti 1050 und 1051, eingereicht. Der Beklagte habe indes kurz vor dem Aus- zug der Klägerin aus dem gemeinsamen Haushalt von der von ihr geführten Buchhaltung eine Sicherungskopie erstellt. Der Beklagte halte daran fest, dass die Liegenschaft Teil der einfachen Gesellschaft "X. / Y." gewesen sei. Die Be- hauptung der Klägerin, der Beklagte habe das Haus in A. ohne Verlust verkauft, werde bestritten. Vielmehr habe aus dem Verkauf ein Verlust von Fr. 165'141.85 resultiert. Der Beklagte halte an der Einholung einer Buchhaltungs- expertise fest. Nur die Prüfung der gemeinsamen Buchhaltung der Parteien könne einen verlässlichen Aufschluss darüber geben, ob die Klägerin noch über einen finanziellen Anspruch aus der „einfachen Gesellschaft X. / Y." verfüge.</w:t>
      </w:r>
    </w:p>
    <w:p>
      <w:r>
        <w:rPr>
          <w:b/>
        </w:rPr>
        <w:t>E. 7</w:t>
      </w:r>
    </w:p>
    <w:p>
      <w:r>
        <w:t>Am 22. Juni 2006 erliess der Bezirksgerichtsvizepräsident Ples- sur die Beweisverfügung. Er erklärte darin die eingereichten Urkunden für pro- zesserheblich und ordnete Editionen aus Händen der Parteien an. Über die all- fällige Einholung einer Expertise werde nach Eingang der Editionen entschie- den. C. Mit Urteil vom 5. Dezember 2006, mitgeteilt am 23. April 2007, erkannte das Bezirksgericht Plessur: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